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2570" w14:textId="08F35CFD" w:rsidR="009C25E3" w:rsidRPr="005317C4" w:rsidRDefault="005317C4" w:rsidP="005317C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5317C4">
        <w:rPr>
          <w:sz w:val="36"/>
          <w:szCs w:val="36"/>
        </w:rPr>
        <w:t>MINI BULLETIN – 28 February 2023</w:t>
      </w:r>
    </w:p>
    <w:p w14:paraId="3C1BAF81" w14:textId="0D28CA66" w:rsidR="005317C4" w:rsidRDefault="005317C4"/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317C4" w:rsidRPr="005317C4" w14:paraId="3CCC8BE8" w14:textId="77777777" w:rsidTr="005317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317C4" w:rsidRPr="005317C4" w14:paraId="4B5B8B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5317C4" w:rsidRPr="005317C4" w14:paraId="6E3C3F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5317C4" w:rsidRPr="005317C4" w14:paraId="18B94B2A" w14:textId="77777777">
                          <w:trPr>
                            <w:trHeight w:val="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5317C4" w:rsidRPr="005317C4" w14:paraId="6E73568F" w14:textId="77777777" w:rsidTr="005317C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auto"/>
                                    </w:tcBorders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BE66937" w14:textId="4101E406" w:rsidR="005317C4" w:rsidRPr="005317C4" w:rsidRDefault="005317C4" w:rsidP="005317C4">
                                    <w:pPr>
                                      <w:spacing w:line="315" w:lineRule="atLeast"/>
                                      <w:jc w:val="both"/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GP leaders have hailed a 'grim milestone' for 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eneral 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ractice after the workforce dropped more than 2,000 full-time equivalent (FTE) 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</w:rPr>
                                      <w:t>GPs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 xml:space="preserve"> below the level when comparable records began in 2015</w:t>
                                    </w:r>
                                    <w:r w:rsidRPr="005317C4"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14:paraId="7AFE14DE" w14:textId="77777777" w:rsidR="005317C4" w:rsidRPr="005317C4" w:rsidRDefault="005317C4" w:rsidP="005317C4">
                                    <w:pPr>
                                      <w:spacing w:line="315" w:lineRule="atLeast"/>
                                      <w:jc w:val="both"/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E069AF4" w14:textId="415F2AE9" w:rsidR="005317C4" w:rsidRPr="005317C4" w:rsidRDefault="005317C4" w:rsidP="005317C4">
                                    <w:pPr>
                                      <w:spacing w:line="315" w:lineRule="atLeast"/>
                                      <w:jc w:val="both"/>
                                      <w:rPr>
                                        <w:rFonts w:ascii="Segoe UI Historic" w:eastAsia="Times New Roman" w:hAnsi="Segoe UI Historic" w:cs="Segoe UI Historic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CC9692" w14:textId="77777777" w:rsidR="005317C4" w:rsidRPr="005317C4" w:rsidRDefault="005317C4" w:rsidP="005317C4">
                              <w:pPr>
                                <w:jc w:val="both"/>
                                <w:rPr>
                                  <w:rFonts w:ascii="Segoe UI Historic" w:eastAsia="Times New Roman" w:hAnsi="Segoe UI Historic" w:cs="Segoe UI Histor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8541DB" w14:textId="77777777" w:rsidR="005317C4" w:rsidRPr="005317C4" w:rsidRDefault="005317C4" w:rsidP="005317C4">
                        <w:pPr>
                          <w:jc w:val="both"/>
                          <w:rPr>
                            <w:rFonts w:ascii="Segoe UI Historic" w:eastAsia="Times New Roman" w:hAnsi="Segoe UI Historic" w:cs="Segoe UI Histor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6A9179" w14:textId="77777777" w:rsidR="005317C4" w:rsidRPr="005317C4" w:rsidRDefault="005317C4" w:rsidP="005317C4">
                  <w:pPr>
                    <w:jc w:val="both"/>
                    <w:rPr>
                      <w:rFonts w:ascii="Segoe UI Historic" w:eastAsia="Times New Roman" w:hAnsi="Segoe UI Historic" w:cs="Segoe UI Historic"/>
                      <w:sz w:val="20"/>
                      <w:szCs w:val="20"/>
                    </w:rPr>
                  </w:pPr>
                </w:p>
              </w:tc>
            </w:tr>
          </w:tbl>
          <w:p w14:paraId="12009E7B" w14:textId="77777777" w:rsidR="005317C4" w:rsidRPr="005317C4" w:rsidRDefault="005317C4" w:rsidP="005317C4">
            <w:pPr>
              <w:jc w:val="both"/>
              <w:rPr>
                <w:rFonts w:ascii="Segoe UI Historic" w:eastAsia="Times New Roman" w:hAnsi="Segoe UI Historic" w:cs="Segoe UI Historic"/>
                <w:sz w:val="20"/>
                <w:szCs w:val="20"/>
              </w:rPr>
            </w:pPr>
          </w:p>
        </w:tc>
      </w:tr>
    </w:tbl>
    <w:p w14:paraId="314D1544" w14:textId="5D77B4C6" w:rsidR="005317C4" w:rsidRPr="005317C4" w:rsidRDefault="005317C4" w:rsidP="005317C4">
      <w:pPr>
        <w:shd w:val="clear" w:color="auto" w:fill="FFFFFF"/>
        <w:spacing w:after="225"/>
        <w:jc w:val="both"/>
        <w:textAlignment w:val="baseline"/>
        <w:rPr>
          <w:rFonts w:ascii="Segoe UI Historic" w:hAnsi="Segoe UI Historic" w:cs="Segoe UI Historic"/>
          <w:sz w:val="24"/>
          <w:szCs w:val="24"/>
        </w:rPr>
      </w:pPr>
      <w:r w:rsidRPr="005317C4">
        <w:rPr>
          <w:rFonts w:ascii="Segoe UI Historic" w:eastAsia="Times New Roman" w:hAnsi="Segoe UI Historic" w:cs="Segoe UI Historic"/>
          <w:b/>
          <w:bCs/>
          <w:color w:val="202A30"/>
          <w:sz w:val="24"/>
          <w:szCs w:val="24"/>
          <w:u w:val="single"/>
        </w:rPr>
        <w:t>COVID</w:t>
      </w:r>
      <w:r w:rsidRPr="005317C4">
        <w:rPr>
          <w:rFonts w:ascii="Segoe UI Historic" w:eastAsia="Times New Roman" w:hAnsi="Segoe UI Historic" w:cs="Segoe UI Historic"/>
          <w:b/>
          <w:bCs/>
          <w:color w:val="202A30"/>
          <w:sz w:val="24"/>
          <w:szCs w:val="24"/>
        </w:rPr>
        <w:t xml:space="preserve"> 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The </w:t>
      </w:r>
      <w:r w:rsidRPr="005317C4">
        <w:rPr>
          <w:rFonts w:ascii="Segoe UI Historic" w:hAnsi="Segoe UI Historic" w:cs="Segoe UI Historic"/>
          <w:sz w:val="24"/>
          <w:szCs w:val="24"/>
        </w:rPr>
        <w:t>G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overnment has accepted interim Joint Committee on Vaccination and Immunisation advice that the NHS should plan for an extra </w:t>
      </w:r>
      <w:r w:rsidRPr="005317C4">
        <w:rPr>
          <w:rFonts w:ascii="Segoe UI Historic" w:hAnsi="Segoe UI Historic" w:cs="Segoe UI Historic"/>
          <w:sz w:val="24"/>
          <w:szCs w:val="24"/>
        </w:rPr>
        <w:t>B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ooster in </w:t>
      </w:r>
      <w:r w:rsidRPr="005317C4">
        <w:rPr>
          <w:rFonts w:ascii="Segoe UI Historic" w:hAnsi="Segoe UI Historic" w:cs="Segoe UI Historic"/>
          <w:sz w:val="24"/>
          <w:szCs w:val="24"/>
        </w:rPr>
        <w:t>S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pring 2023 and an additional booster in </w:t>
      </w:r>
      <w:r w:rsidRPr="005317C4">
        <w:rPr>
          <w:rFonts w:ascii="Segoe UI Historic" w:hAnsi="Segoe UI Historic" w:cs="Segoe UI Historic"/>
          <w:sz w:val="24"/>
          <w:szCs w:val="24"/>
        </w:rPr>
        <w:t>the A</w:t>
      </w:r>
      <w:r w:rsidRPr="005317C4">
        <w:rPr>
          <w:rFonts w:ascii="Segoe UI Historic" w:hAnsi="Segoe UI Historic" w:cs="Segoe UI Historic"/>
          <w:sz w:val="24"/>
          <w:szCs w:val="24"/>
        </w:rPr>
        <w:t>utumn.</w:t>
      </w:r>
    </w:p>
    <w:p w14:paraId="0E20181A" w14:textId="26536D0F" w:rsidR="005317C4" w:rsidRPr="005317C4" w:rsidRDefault="005317C4" w:rsidP="005317C4">
      <w:pPr>
        <w:shd w:val="clear" w:color="auto" w:fill="FFFFFF"/>
        <w:spacing w:after="225"/>
        <w:jc w:val="both"/>
        <w:textAlignment w:val="baseline"/>
        <w:rPr>
          <w:rFonts w:ascii="Segoe UI Historic" w:eastAsia="Times New Roman" w:hAnsi="Segoe UI Historic" w:cs="Segoe UI Historic"/>
          <w:b/>
          <w:bCs/>
          <w:color w:val="202A30"/>
          <w:sz w:val="24"/>
          <w:szCs w:val="24"/>
        </w:rPr>
      </w:pP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 xml:space="preserve">For spring planning purposes, [2023] we are asking systems to plan to vaccinate the groups eligible last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S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pring.</w:t>
      </w:r>
    </w:p>
    <w:p w14:paraId="0049689A" w14:textId="77777777" w:rsidR="005317C4" w:rsidRPr="005317C4" w:rsidRDefault="005317C4" w:rsidP="005317C4">
      <w:pPr>
        <w:shd w:val="clear" w:color="auto" w:fill="FFFFFF"/>
        <w:spacing w:after="225"/>
        <w:jc w:val="both"/>
        <w:textAlignment w:val="baseline"/>
        <w:rPr>
          <w:rFonts w:ascii="Segoe UI Historic" w:eastAsia="Times New Roman" w:hAnsi="Segoe UI Historic" w:cs="Segoe UI Historic"/>
          <w:color w:val="202A30"/>
          <w:sz w:val="24"/>
          <w:szCs w:val="24"/>
        </w:rPr>
      </w:pP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This would include:</w:t>
      </w:r>
    </w:p>
    <w:p w14:paraId="1B3E968B" w14:textId="7FD805A2" w:rsidR="005317C4" w:rsidRPr="005317C4" w:rsidRDefault="005317C4" w:rsidP="005317C4">
      <w:pPr>
        <w:shd w:val="clear" w:color="auto" w:fill="FFFFFF"/>
        <w:ind w:left="1005" w:hanging="360"/>
        <w:jc w:val="both"/>
        <w:textAlignment w:val="baseline"/>
        <w:rPr>
          <w:rFonts w:ascii="Segoe UI Historic" w:eastAsia="Times New Roman" w:hAnsi="Segoe UI Historic" w:cs="Segoe UI Historic"/>
          <w:color w:val="202A30"/>
          <w:sz w:val="24"/>
          <w:szCs w:val="24"/>
        </w:rPr>
      </w:pPr>
      <w:r w:rsidRPr="005317C4">
        <w:rPr>
          <w:rFonts w:ascii="Segoe UI Historic" w:eastAsia="Symbol" w:hAnsi="Segoe UI Historic" w:cs="Segoe UI Historic"/>
          <w:color w:val="202A30"/>
          <w:sz w:val="20"/>
          <w:szCs w:val="24"/>
        </w:rPr>
        <w:t xml:space="preserve">·       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A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 xml:space="preserve">dults aged 75 years and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over.</w:t>
      </w:r>
    </w:p>
    <w:p w14:paraId="4B22079F" w14:textId="1D5D021A" w:rsidR="005317C4" w:rsidRPr="005317C4" w:rsidRDefault="005317C4" w:rsidP="005317C4">
      <w:pPr>
        <w:shd w:val="clear" w:color="auto" w:fill="FFFFFF"/>
        <w:ind w:left="1005" w:hanging="360"/>
        <w:jc w:val="both"/>
        <w:textAlignment w:val="baseline"/>
        <w:rPr>
          <w:rFonts w:ascii="Segoe UI Historic" w:eastAsia="Times New Roman" w:hAnsi="Segoe UI Historic" w:cs="Segoe UI Historic"/>
          <w:color w:val="202A30"/>
          <w:sz w:val="24"/>
          <w:szCs w:val="24"/>
        </w:rPr>
      </w:pPr>
      <w:r w:rsidRPr="005317C4">
        <w:rPr>
          <w:rFonts w:ascii="Segoe UI Historic" w:eastAsia="Symbol" w:hAnsi="Segoe UI Historic" w:cs="Segoe UI Historic"/>
          <w:color w:val="202A30"/>
          <w:sz w:val="20"/>
          <w:szCs w:val="24"/>
        </w:rPr>
        <w:t xml:space="preserve">·       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R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 xml:space="preserve">esidents in a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C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 xml:space="preserve">are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H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ome for older adults</w:t>
      </w:r>
      <w:r>
        <w:rPr>
          <w:rFonts w:ascii="Segoe UI Historic" w:eastAsia="Times New Roman" w:hAnsi="Segoe UI Historic" w:cs="Segoe UI Historic"/>
          <w:color w:val="202A30"/>
          <w:sz w:val="24"/>
          <w:szCs w:val="24"/>
        </w:rPr>
        <w:t>.</w:t>
      </w:r>
    </w:p>
    <w:p w14:paraId="738B3EAB" w14:textId="51A64749" w:rsidR="005317C4" w:rsidRPr="005317C4" w:rsidRDefault="005317C4" w:rsidP="005317C4">
      <w:pPr>
        <w:shd w:val="clear" w:color="auto" w:fill="FFFFFF"/>
        <w:ind w:left="1005" w:hanging="360"/>
        <w:jc w:val="both"/>
        <w:textAlignment w:val="baseline"/>
        <w:rPr>
          <w:rFonts w:ascii="Segoe UI Historic" w:eastAsia="Times New Roman" w:hAnsi="Segoe UI Historic" w:cs="Segoe UI Historic"/>
          <w:color w:val="202A30"/>
          <w:sz w:val="24"/>
          <w:szCs w:val="24"/>
        </w:rPr>
      </w:pPr>
      <w:r w:rsidRPr="005317C4">
        <w:rPr>
          <w:rFonts w:ascii="Segoe UI Historic" w:eastAsia="Symbol" w:hAnsi="Segoe UI Historic" w:cs="Segoe UI Historic"/>
          <w:color w:val="202A30"/>
          <w:sz w:val="20"/>
          <w:szCs w:val="24"/>
        </w:rPr>
        <w:t xml:space="preserve">·       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I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 xml:space="preserve">ndividuals aged 5 years and over who are </w:t>
      </w:r>
      <w:r w:rsidRPr="005317C4">
        <w:rPr>
          <w:rFonts w:ascii="Segoe UI Historic" w:eastAsia="Times New Roman" w:hAnsi="Segoe UI Historic" w:cs="Segoe UI Historic"/>
          <w:color w:val="202A30"/>
          <w:sz w:val="24"/>
          <w:szCs w:val="24"/>
        </w:rPr>
        <w:t>immunosuppressed.</w:t>
      </w:r>
    </w:p>
    <w:p w14:paraId="1BD3BFF7" w14:textId="77777777" w:rsidR="005317C4" w:rsidRPr="005317C4" w:rsidRDefault="005317C4" w:rsidP="005317C4">
      <w:pPr>
        <w:shd w:val="clear" w:color="auto" w:fill="FFFFFF"/>
        <w:ind w:left="1005" w:hanging="360"/>
        <w:jc w:val="both"/>
        <w:textAlignment w:val="baseline"/>
        <w:rPr>
          <w:rFonts w:ascii="Segoe UI Historic" w:eastAsia="Times New Roman" w:hAnsi="Segoe UI Historic" w:cs="Segoe UI Historic"/>
          <w:color w:val="202A30"/>
          <w:sz w:val="24"/>
          <w:szCs w:val="24"/>
        </w:rPr>
      </w:pPr>
    </w:p>
    <w:p w14:paraId="5B4E98CD" w14:textId="77777777" w:rsidR="005317C4" w:rsidRPr="005317C4" w:rsidRDefault="005317C4" w:rsidP="005317C4">
      <w:pPr>
        <w:jc w:val="both"/>
        <w:rPr>
          <w:rFonts w:ascii="Segoe UI Historic" w:hAnsi="Segoe UI Historic" w:cs="Segoe UI Historic"/>
          <w:sz w:val="24"/>
          <w:szCs w:val="24"/>
          <w:shd w:val="clear" w:color="auto" w:fill="FFFFFF"/>
        </w:rPr>
      </w:pP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Visits to 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>C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are 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>H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omes should be planned to begin Monday 3 April 2023 and the 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>S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pring 2023 COVID-19 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>B</w:t>
      </w:r>
      <w:r w:rsidRPr="005317C4">
        <w:rPr>
          <w:rFonts w:ascii="Segoe UI Historic" w:hAnsi="Segoe UI Historic" w:cs="Segoe UI Historic"/>
          <w:sz w:val="24"/>
          <w:szCs w:val="24"/>
          <w:shd w:val="clear" w:color="auto" w:fill="FFFFFF"/>
        </w:rPr>
        <w:t>ooster campaign should be planned to formally commence on Monday 17 April 2023 and end on Friday 30 June 2023. </w:t>
      </w:r>
    </w:p>
    <w:p w14:paraId="13B68C02" w14:textId="77777777" w:rsidR="005317C4" w:rsidRPr="005317C4" w:rsidRDefault="005317C4" w:rsidP="005317C4">
      <w:pPr>
        <w:jc w:val="both"/>
        <w:rPr>
          <w:rFonts w:ascii="Segoe UI Historic" w:hAnsi="Segoe UI Historic" w:cs="Segoe UI Historic"/>
          <w:sz w:val="24"/>
          <w:szCs w:val="24"/>
          <w:shd w:val="clear" w:color="auto" w:fill="FFFFFF"/>
        </w:rPr>
      </w:pPr>
    </w:p>
    <w:p w14:paraId="3FF01324" w14:textId="1283CFF9" w:rsidR="005317C4" w:rsidRPr="005317C4" w:rsidRDefault="005317C4" w:rsidP="005317C4">
      <w:pPr>
        <w:jc w:val="both"/>
        <w:rPr>
          <w:rFonts w:ascii="Segoe UI Historic" w:hAnsi="Segoe UI Historic" w:cs="Segoe UI Historic"/>
          <w:sz w:val="24"/>
          <w:szCs w:val="24"/>
        </w:rPr>
      </w:pPr>
      <w:r w:rsidRPr="005317C4">
        <w:rPr>
          <w:rFonts w:ascii="Segoe UI Historic" w:hAnsi="Segoe UI Historic" w:cs="Segoe UI Historic"/>
          <w:sz w:val="24"/>
          <w:szCs w:val="24"/>
        </w:rPr>
        <w:t xml:space="preserve">The NHS will plan to invite and vaccinate those eligible for a </w:t>
      </w:r>
      <w:r w:rsidRPr="005317C4">
        <w:rPr>
          <w:rFonts w:ascii="Segoe UI Historic" w:hAnsi="Segoe UI Historic" w:cs="Segoe UI Historic"/>
          <w:sz w:val="24"/>
          <w:szCs w:val="24"/>
        </w:rPr>
        <w:t>S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pring </w:t>
      </w:r>
      <w:r w:rsidRPr="005317C4">
        <w:rPr>
          <w:rFonts w:ascii="Segoe UI Historic" w:hAnsi="Segoe UI Historic" w:cs="Segoe UI Historic"/>
          <w:sz w:val="24"/>
          <w:szCs w:val="24"/>
        </w:rPr>
        <w:t>B</w:t>
      </w:r>
      <w:r w:rsidRPr="005317C4">
        <w:rPr>
          <w:rFonts w:ascii="Segoe UI Historic" w:hAnsi="Segoe UI Historic" w:cs="Segoe UI Historic"/>
          <w:sz w:val="24"/>
          <w:szCs w:val="24"/>
        </w:rPr>
        <w:t>ooster in time for completion by 30 June</w:t>
      </w:r>
      <w:r w:rsidRPr="005317C4">
        <w:rPr>
          <w:rFonts w:ascii="Segoe UI Historic" w:hAnsi="Segoe UI Historic" w:cs="Segoe UI Historic"/>
          <w:sz w:val="24"/>
          <w:szCs w:val="24"/>
        </w:rPr>
        <w:t xml:space="preserve"> 2023.</w:t>
      </w:r>
    </w:p>
    <w:p w14:paraId="134C33B0" w14:textId="77777777" w:rsidR="005317C4" w:rsidRPr="005317C4" w:rsidRDefault="005317C4" w:rsidP="005317C4">
      <w:pPr>
        <w:jc w:val="both"/>
        <w:rPr>
          <w:rFonts w:ascii="Segoe UI Historic" w:hAnsi="Segoe UI Historic" w:cs="Segoe UI Historic"/>
        </w:rPr>
      </w:pPr>
    </w:p>
    <w:sectPr w:rsidR="005317C4" w:rsidRPr="005317C4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C4"/>
    <w:rsid w:val="00092E15"/>
    <w:rsid w:val="003B4D69"/>
    <w:rsid w:val="004D37C0"/>
    <w:rsid w:val="005317C4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0A6B"/>
  <w15:chartTrackingRefBased/>
  <w15:docId w15:val="{6CC65465-FAC4-43AD-BC67-BCC0E12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C4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2023-02-28T09:45:00Z</dcterms:created>
  <dcterms:modified xsi:type="dcterms:W3CDTF">2023-02-28T09:51:00Z</dcterms:modified>
</cp:coreProperties>
</file>