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bookmarkStart w:id="0" w:name="_GoBack"/>
      <w:r w:rsidRPr="00A50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Diana R. Johnson </w:t>
      </w:r>
      <w:r w:rsidRPr="00A50B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Labour, Kingston upon Hull North</w:t>
      </w:r>
    </w:p>
    <w:bookmarkEnd w:id="0"/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To ask the Secretary of State for Health, (a) how much funding has been allocated to and (b) how many staff have been employed by (</w:t>
      </w:r>
      <w:proofErr w:type="spellStart"/>
      <w:r w:rsidRPr="00A50B99">
        <w:rPr>
          <w:rFonts w:ascii="Times New Roman" w:hAnsi="Times New Roman" w:cs="Times New Roman"/>
          <w:color w:val="000000"/>
        </w:rPr>
        <w:t>i</w:t>
      </w:r>
      <w:proofErr w:type="spellEnd"/>
      <w:r w:rsidRPr="00A50B99">
        <w:rPr>
          <w:rFonts w:ascii="Times New Roman" w:hAnsi="Times New Roman" w:cs="Times New Roman"/>
          <w:color w:val="000000"/>
        </w:rPr>
        <w:t>)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England, (ii)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Hull and (iii) each other local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in England and Wales in each of the last three years.</w:t>
      </w:r>
    </w:p>
    <w:p w:rsidR="00A50B99" w:rsidRPr="00A50B99" w:rsidRDefault="00A50B99" w:rsidP="00A50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spellStart"/>
      <w:r w:rsidRPr="00A50B99">
        <w:rPr>
          <w:rFonts w:ascii="Times New Roman" w:eastAsia="Times New Roman" w:hAnsi="Times New Roman" w:cs="Times New Roman"/>
          <w:color w:val="000000"/>
        </w:rPr>
        <w:t>Hansard</w:t>
      </w:r>
      <w:proofErr w:type="spellEnd"/>
      <w:r w:rsidRPr="00A50B99">
        <w:rPr>
          <w:rFonts w:ascii="Times New Roman" w:eastAsia="Times New Roman" w:hAnsi="Times New Roman" w:cs="Times New Roman"/>
          <w:color w:val="000000"/>
        </w:rPr>
        <w:t xml:space="preserve"> source (Citation: HC Deb, 30 January 2017, </w:t>
      </w:r>
      <w:proofErr w:type="spellStart"/>
      <w:r w:rsidRPr="00A50B99">
        <w:rPr>
          <w:rFonts w:ascii="Times New Roman" w:eastAsia="Times New Roman" w:hAnsi="Times New Roman" w:cs="Times New Roman"/>
          <w:color w:val="000000"/>
        </w:rPr>
        <w:t>cW</w:t>
      </w:r>
      <w:proofErr w:type="spellEnd"/>
      <w:r w:rsidRPr="00A50B99">
        <w:rPr>
          <w:rFonts w:ascii="Times New Roman" w:eastAsia="Times New Roman" w:hAnsi="Times New Roman" w:cs="Times New Roman"/>
          <w:color w:val="000000"/>
        </w:rPr>
        <w:t>)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oto of Philip Du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oto of Philip Du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DkmcPA+wAAAOEBAAAT&#10;AAAAAAAAAAAAAAAAAAAAAABbQ29udGVudF9UeXBlc10ueG1sUEsBAi0AFAAGAAgAAAAhACOyauHX&#10;AAAAlAEAAAsAAAAAAAAAAAAAAAAALAEAAF9yZWxzLy5yZWxzUEsBAi0AFAAGAAgAAAAhAHab0xDC&#10;AgAA1AUAAA4AAAAAAAAAAAAAAAAALA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A50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Philip Dunne </w:t>
      </w:r>
      <w:r w:rsidRPr="00A50B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Minister of State, Department of Health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England has provided the following information.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Allocation of funding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A50B99">
        <w:rPr>
          <w:rFonts w:ascii="Times New Roman" w:hAnsi="Times New Roman" w:cs="Times New Roman"/>
          <w:color w:val="FF0000"/>
        </w:rPr>
        <w:t>Healthwatch</w:t>
      </w:r>
      <w:proofErr w:type="spellEnd"/>
      <w:r w:rsidRPr="00A50B99">
        <w:rPr>
          <w:rFonts w:ascii="Times New Roman" w:hAnsi="Times New Roman" w:cs="Times New Roman"/>
          <w:color w:val="FF0000"/>
        </w:rPr>
        <w:t> England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981"/>
        <w:gridCol w:w="1181"/>
        <w:gridCol w:w="1196"/>
      </w:tblGrid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Local </w:t>
            </w:r>
            <w:proofErr w:type="spell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Healthwatch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2014/15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 2015/16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 2016/17</w:t>
            </w:r>
          </w:p>
        </w:tc>
      </w:tr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Healthwatch</w:t>
            </w:r>
            <w:proofErr w:type="spellEnd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England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Menlo Bold Italic" w:hAnsi="Menlo Bold Italic" w:cs="Menlo Bold Italic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,160,000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r w:rsidRPr="00A50B99">
              <w:rPr>
                <w:rFonts w:ascii="Menlo Bold Italic" w:hAnsi="Menlo Bold Italic" w:cs="Menlo Bold Italic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,500,000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r w:rsidRPr="00A50B99">
              <w:rPr>
                <w:rFonts w:ascii="Menlo Bold Italic" w:hAnsi="Menlo Bold Italic" w:cs="Menlo Bold Italic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,000,000</w:t>
            </w:r>
            <w:proofErr w:type="gramEnd"/>
          </w:p>
        </w:tc>
      </w:tr>
    </w:tbl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A50B99">
        <w:rPr>
          <w:rFonts w:ascii="Times New Roman" w:hAnsi="Times New Roman" w:cs="Times New Roman"/>
          <w:color w:val="FF0000"/>
        </w:rPr>
        <w:t>Healthwatch</w:t>
      </w:r>
      <w:proofErr w:type="spellEnd"/>
      <w:r w:rsidRPr="00A50B99">
        <w:rPr>
          <w:rFonts w:ascii="Times New Roman" w:hAnsi="Times New Roman" w:cs="Times New Roman"/>
          <w:color w:val="FF0000"/>
        </w:rPr>
        <w:t> Kingston upon Hull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757"/>
        <w:gridCol w:w="1410"/>
        <w:gridCol w:w="1874"/>
        <w:gridCol w:w="1739"/>
      </w:tblGrid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LocalHealthwatch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April 2014/ March </w:t>
            </w:r>
            <w:proofErr w:type="gram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2015      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2015/March 2016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April 2016/November 2016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December 2016/May 2017</w:t>
            </w:r>
          </w:p>
        </w:tc>
      </w:tr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Kingston Upon Hull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  </w:t>
            </w:r>
            <w:r w:rsidRPr="00A50B99">
              <w:rPr>
                <w:rFonts w:ascii="Menlo Bold Italic" w:hAnsi="Menlo Bold Italic" w:cs="Menlo Bold Italic"/>
                <w:color w:val="000000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proofErr w:type="gram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Menlo Bold Italic" w:hAnsi="Menlo Bold Italic" w:cs="Menlo Bold Italic"/>
                <w:color w:val="000000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proofErr w:type="gram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  <w:r w:rsidRPr="00A50B99">
              <w:rPr>
                <w:rFonts w:ascii="Menlo Bold Italic" w:hAnsi="Menlo Bold Italic" w:cs="Menlo Bold Italic"/>
                <w:color w:val="000000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proofErr w:type="gram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,463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  <w:r w:rsidRPr="00A50B99">
              <w:rPr>
                <w:rFonts w:ascii="Menlo Bold Italic" w:hAnsi="Menlo Bold Italic" w:cs="Menlo Bold Italic"/>
                <w:color w:val="000000"/>
                <w:sz w:val="20"/>
                <w:szCs w:val="20"/>
              </w:rPr>
              <w:t>�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proofErr w:type="gram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,865</w:t>
            </w: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</w:tbl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  <w:vertAlign w:val="superscript"/>
        </w:rPr>
        <w:t>1</w:t>
      </w:r>
      <w:r w:rsidRPr="00A50B99">
        <w:rPr>
          <w:rFonts w:ascii="Times New Roman" w:hAnsi="Times New Roman" w:cs="Times New Roman"/>
          <w:color w:val="000000"/>
        </w:rPr>
        <w:t xml:space="preserve">The rate equivalent to </w:t>
      </w:r>
      <w:r w:rsidRPr="00A50B99">
        <w:rPr>
          <w:rFonts w:ascii="Menlo Bold Italic" w:hAnsi="Menlo Bold Italic" w:cs="Menlo Bold Italic"/>
          <w:color w:val="000000"/>
        </w:rPr>
        <w:t>�</w:t>
      </w:r>
      <w:r w:rsidRPr="00A50B99">
        <w:rPr>
          <w:rFonts w:ascii="Times New Roman" w:hAnsi="Times New Roman" w:cs="Times New Roman"/>
          <w:color w:val="000000"/>
        </w:rPr>
        <w:t>276</w:t>
      </w:r>
      <w:proofErr w:type="gramStart"/>
      <w:r w:rsidRPr="00A50B99">
        <w:rPr>
          <w:rFonts w:ascii="Times New Roman" w:hAnsi="Times New Roman" w:cs="Times New Roman"/>
          <w:color w:val="000000"/>
        </w:rPr>
        <w:t>,696</w:t>
      </w:r>
      <w:proofErr w:type="gramEnd"/>
      <w:r w:rsidRPr="00A50B99">
        <w:rPr>
          <w:rFonts w:ascii="Times New Roman" w:hAnsi="Times New Roman" w:cs="Times New Roman"/>
          <w:color w:val="000000"/>
        </w:rPr>
        <w:t xml:space="preserve"> per annum was applied from April through November 2016 due to the delay in the new tender.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  <w:vertAlign w:val="superscript"/>
        </w:rPr>
        <w:t>2</w:t>
      </w:r>
      <w:r w:rsidRPr="00A50B99">
        <w:rPr>
          <w:rFonts w:ascii="Times New Roman" w:hAnsi="Times New Roman" w:cs="Times New Roman"/>
          <w:color w:val="000000"/>
        </w:rPr>
        <w:t xml:space="preserve">The rate equivalent to </w:t>
      </w:r>
      <w:r w:rsidRPr="00A50B99">
        <w:rPr>
          <w:rFonts w:ascii="Menlo Bold Italic" w:hAnsi="Menlo Bold Italic" w:cs="Menlo Bold Italic"/>
          <w:color w:val="000000"/>
        </w:rPr>
        <w:t>�</w:t>
      </w:r>
      <w:r w:rsidRPr="00A50B99">
        <w:rPr>
          <w:rFonts w:ascii="Times New Roman" w:hAnsi="Times New Roman" w:cs="Times New Roman"/>
          <w:color w:val="000000"/>
        </w:rPr>
        <w:t>195</w:t>
      </w:r>
      <w:proofErr w:type="gramStart"/>
      <w:r w:rsidRPr="00A50B99">
        <w:rPr>
          <w:rFonts w:ascii="Times New Roman" w:hAnsi="Times New Roman" w:cs="Times New Roman"/>
          <w:color w:val="000000"/>
        </w:rPr>
        <w:t>,729</w:t>
      </w:r>
      <w:proofErr w:type="gramEnd"/>
      <w:r w:rsidRPr="00A50B99">
        <w:rPr>
          <w:rFonts w:ascii="Times New Roman" w:hAnsi="Times New Roman" w:cs="Times New Roman"/>
          <w:color w:val="000000"/>
        </w:rPr>
        <w:t xml:space="preserve"> per annum was agreed for a six month extension from December 2016 to May 2017 due to the delay in the new tender.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All funding from April 2016 now includes both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core funding and additional funding for advocacy services. Under the previous contract Kingston upon Hull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 xml:space="preserve"> received an additional </w:t>
      </w:r>
      <w:r w:rsidRPr="00A50B99">
        <w:rPr>
          <w:rFonts w:ascii="Menlo Bold Italic" w:hAnsi="Menlo Bold Italic" w:cs="Menlo Bold Italic"/>
          <w:color w:val="000000"/>
        </w:rPr>
        <w:t>�</w:t>
      </w:r>
      <w:r w:rsidRPr="00A50B99">
        <w:rPr>
          <w:rFonts w:ascii="Times New Roman" w:hAnsi="Times New Roman" w:cs="Times New Roman"/>
          <w:color w:val="000000"/>
        </w:rPr>
        <w:t>79</w:t>
      </w:r>
      <w:proofErr w:type="gramStart"/>
      <w:r w:rsidRPr="00A50B99">
        <w:rPr>
          <w:rFonts w:ascii="Times New Roman" w:hAnsi="Times New Roman" w:cs="Times New Roman"/>
          <w:color w:val="000000"/>
        </w:rPr>
        <w:t>,000</w:t>
      </w:r>
      <w:proofErr w:type="gramEnd"/>
      <w:r w:rsidRPr="00A50B99">
        <w:rPr>
          <w:rFonts w:ascii="Times New Roman" w:hAnsi="Times New Roman" w:cs="Times New Roman"/>
          <w:color w:val="000000"/>
        </w:rPr>
        <w:t xml:space="preserve"> on top of the </w:t>
      </w:r>
      <w:r w:rsidRPr="00A50B99">
        <w:rPr>
          <w:rFonts w:ascii="Menlo Bold Italic" w:hAnsi="Menlo Bold Italic" w:cs="Menlo Bold Italic"/>
          <w:color w:val="000000"/>
        </w:rPr>
        <w:t>�</w:t>
      </w:r>
      <w:r w:rsidRPr="00A50B99">
        <w:rPr>
          <w:rFonts w:ascii="Times New Roman" w:hAnsi="Times New Roman" w:cs="Times New Roman"/>
          <w:color w:val="000000"/>
        </w:rPr>
        <w:t>213,800 for the advocacy contract.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Calibri" w:hAnsi="Calibri" w:cs="Times New Roman"/>
          <w:color w:val="000000"/>
        </w:rPr>
        <w:t> 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------------------------------------------------------------------------------------------------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Funding allocations to each other local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in England is attached, extracted from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</w:t>
      </w:r>
      <w:proofErr w:type="spellStart"/>
      <w:r w:rsidRPr="00A50B99">
        <w:rPr>
          <w:rFonts w:ascii="Times New Roman" w:hAnsi="Times New Roman" w:cs="Times New Roman"/>
          <w:color w:val="000000"/>
        </w:rPr>
        <w:t>England's</w:t>
      </w:r>
      <w:r w:rsidRPr="00A50B99">
        <w:rPr>
          <w:rFonts w:ascii="Times New Roman" w:hAnsi="Times New Roman" w:cs="Times New Roman"/>
          <w:i/>
          <w:iCs/>
          <w:color w:val="000000"/>
        </w:rPr>
        <w:t>State</w:t>
      </w:r>
      <w:proofErr w:type="spellEnd"/>
      <w:r w:rsidRPr="00A50B99">
        <w:rPr>
          <w:rFonts w:ascii="Times New Roman" w:hAnsi="Times New Roman" w:cs="Times New Roman"/>
          <w:i/>
          <w:iCs/>
          <w:color w:val="000000"/>
        </w:rPr>
        <w:t xml:space="preserve"> of Support</w:t>
      </w:r>
      <w:r w:rsidRPr="00A50B99">
        <w:rPr>
          <w:rFonts w:ascii="Times New Roman" w:hAnsi="Times New Roman" w:cs="Times New Roman"/>
          <w:color w:val="000000"/>
        </w:rPr>
        <w:t>, providing details of 2016-17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network finances, published in October 2016.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lastRenderedPageBreak/>
        <w:t>A number of local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have provided</w:t>
      </w:r>
      <w:r w:rsidRPr="00A50B99">
        <w:rPr>
          <w:rFonts w:ascii="Times New Roman" w:hAnsi="Times New Roman" w:cs="Times New Roman"/>
          <w:i/>
          <w:iCs/>
          <w:color w:val="000000"/>
        </w:rPr>
        <w:t> amended</w:t>
      </w:r>
      <w:r w:rsidRPr="00A50B99">
        <w:rPr>
          <w:rFonts w:ascii="Times New Roman" w:hAnsi="Times New Roman" w:cs="Times New Roman"/>
          <w:color w:val="000000"/>
        </w:rPr>
        <w:t> details of their 2016-17 funding.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England intends to publish a revised set of figures in February 2017.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FF0000"/>
        </w:rPr>
        <w:t>Staff numbers full-time equivalent (FTE)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A50B99">
        <w:rPr>
          <w:rFonts w:ascii="Times New Roman" w:hAnsi="Times New Roman" w:cs="Times New Roman"/>
          <w:color w:val="000000"/>
          <w:u w:val="single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  <w:u w:val="single"/>
        </w:rPr>
        <w:t> England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233"/>
        <w:gridCol w:w="1283"/>
        <w:gridCol w:w="1198"/>
      </w:tblGrid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  April 2014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   April 2015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 April 2016</w:t>
            </w:r>
          </w:p>
        </w:tc>
      </w:tr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Healthwatch</w:t>
            </w:r>
            <w:proofErr w:type="spellEnd"/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England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     32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        53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sz w:val="20"/>
                <w:szCs w:val="20"/>
              </w:rPr>
              <w:t>           46</w:t>
            </w:r>
          </w:p>
        </w:tc>
      </w:tr>
    </w:tbl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A50B99">
        <w:rPr>
          <w:rFonts w:ascii="Times New Roman" w:hAnsi="Times New Roman" w:cs="Times New Roman"/>
          <w:color w:val="000000"/>
          <w:u w:val="single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  <w:u w:val="single"/>
        </w:rPr>
        <w:t> Kingston upon Hull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033"/>
        <w:gridCol w:w="1133"/>
        <w:gridCol w:w="1498"/>
      </w:tblGrid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     April 2014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 April 2015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 April 2016</w:t>
            </w:r>
          </w:p>
        </w:tc>
      </w:tr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Kingston Upon Hull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 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 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 4</w:t>
            </w:r>
          </w:p>
        </w:tc>
      </w:tr>
    </w:tbl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  <w:u w:val="single"/>
        </w:rPr>
        <w:t>Other local </w:t>
      </w:r>
      <w:proofErr w:type="spellStart"/>
      <w:r w:rsidRPr="00A50B99">
        <w:rPr>
          <w:rFonts w:ascii="Times New Roman" w:hAnsi="Times New Roman" w:cs="Times New Roman"/>
          <w:color w:val="000000"/>
          <w:u w:val="single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  <w:u w:val="single"/>
        </w:rPr>
        <w:t> in England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Given fluctuations in contractual arrangements and staffing numbers across the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network, it is </w:t>
      </w:r>
      <w:r w:rsidRPr="00A50B99">
        <w:rPr>
          <w:rFonts w:ascii="Times New Roman" w:hAnsi="Times New Roman" w:cs="Times New Roman"/>
          <w:i/>
          <w:iCs/>
          <w:color w:val="000000"/>
        </w:rPr>
        <w:t>not possible to provide a definitive figure for FTE staff across the remainder of the </w:t>
      </w:r>
      <w:proofErr w:type="spellStart"/>
      <w:r w:rsidRPr="00A50B99">
        <w:rPr>
          <w:rFonts w:ascii="Times New Roman" w:hAnsi="Times New Roman" w:cs="Times New Roman"/>
          <w:i/>
          <w:iCs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i/>
          <w:iCs/>
          <w:color w:val="000000"/>
        </w:rPr>
        <w:t> network over the last three years.</w:t>
      </w:r>
    </w:p>
    <w:p w:rsidR="00A50B99" w:rsidRPr="00A50B99" w:rsidRDefault="00A50B99" w:rsidP="00A50B9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A50B99">
        <w:rPr>
          <w:rFonts w:ascii="Times New Roman" w:hAnsi="Times New Roman" w:cs="Times New Roman"/>
          <w:color w:val="000000"/>
        </w:rPr>
        <w:t>However, the below provides an </w:t>
      </w:r>
      <w:r w:rsidRPr="00A50B99">
        <w:rPr>
          <w:rFonts w:ascii="Times New Roman" w:hAnsi="Times New Roman" w:cs="Times New Roman"/>
          <w:i/>
          <w:iCs/>
          <w:color w:val="000000"/>
        </w:rPr>
        <w:t>estimated figure on FTE staffing numbers</w:t>
      </w:r>
      <w:r w:rsidRPr="00A50B99">
        <w:rPr>
          <w:rFonts w:ascii="Times New Roman" w:hAnsi="Times New Roman" w:cs="Times New Roman"/>
          <w:color w:val="000000"/>
        </w:rPr>
        <w:t> for the network, based on the data provided in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England’s annual data intelligence return. These figures are extrapolated, based upon the responses provided by the </w:t>
      </w:r>
      <w:proofErr w:type="spellStart"/>
      <w:r w:rsidRPr="00A50B99">
        <w:rPr>
          <w:rFonts w:ascii="Times New Roman" w:hAnsi="Times New Roman" w:cs="Times New Roman"/>
          <w:color w:val="000000"/>
        </w:rPr>
        <w:t>Healthwatch</w:t>
      </w:r>
      <w:proofErr w:type="spellEnd"/>
      <w:r w:rsidRPr="00A50B99">
        <w:rPr>
          <w:rFonts w:ascii="Times New Roman" w:hAnsi="Times New Roman" w:cs="Times New Roman"/>
          <w:color w:val="000000"/>
        </w:rPr>
        <w:t> network to our questions on staffing numbers.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133"/>
        <w:gridCol w:w="1533"/>
        <w:gridCol w:w="1598"/>
      </w:tblGrid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 April 2014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 April 2015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 April 2016</w:t>
            </w:r>
          </w:p>
        </w:tc>
      </w:tr>
      <w:tr w:rsidR="00A50B99" w:rsidRPr="00A50B99" w:rsidTr="00A5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Healthwatch</w:t>
            </w:r>
            <w:proofErr w:type="spellEnd"/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network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 593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 593</w:t>
            </w:r>
          </w:p>
        </w:tc>
        <w:tc>
          <w:tcPr>
            <w:tcW w:w="0" w:type="auto"/>
            <w:vAlign w:val="center"/>
            <w:hideMark/>
          </w:tcPr>
          <w:p w:rsidR="00A50B99" w:rsidRPr="00A50B99" w:rsidRDefault="00A50B99" w:rsidP="00A50B9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50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 656</w:t>
            </w:r>
          </w:p>
        </w:tc>
      </w:tr>
    </w:tbl>
    <w:p w:rsidR="006A1078" w:rsidRDefault="006A1078"/>
    <w:sectPr w:rsidR="006A1078" w:rsidSect="006A10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 Italic">
    <w:panose1 w:val="020B07090303040B0204"/>
    <w:charset w:val="00"/>
    <w:family w:val="auto"/>
    <w:pitch w:val="variable"/>
    <w:sig w:usb0="E60002FF" w:usb1="500071F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624"/>
    <w:multiLevelType w:val="multilevel"/>
    <w:tmpl w:val="DFF4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9"/>
    <w:rsid w:val="006A1078"/>
    <w:rsid w:val="00A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BB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B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B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0B99"/>
    <w:rPr>
      <w:b/>
      <w:bCs/>
    </w:rPr>
  </w:style>
  <w:style w:type="character" w:customStyle="1" w:styleId="apple-converted-space">
    <w:name w:val="apple-converted-space"/>
    <w:basedOn w:val="DefaultParagraphFont"/>
    <w:rsid w:val="00A50B99"/>
  </w:style>
  <w:style w:type="paragraph" w:styleId="NormalWeb">
    <w:name w:val="Normal (Web)"/>
    <w:basedOn w:val="Normal"/>
    <w:uiPriority w:val="99"/>
    <w:unhideWhenUsed/>
    <w:rsid w:val="00A50B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">
    <w:name w:val="x_hi"/>
    <w:basedOn w:val="DefaultParagraphFont"/>
    <w:rsid w:val="00A50B99"/>
  </w:style>
  <w:style w:type="character" w:styleId="Emphasis">
    <w:name w:val="Emphasis"/>
    <w:basedOn w:val="DefaultParagraphFont"/>
    <w:uiPriority w:val="20"/>
    <w:qFormat/>
    <w:rsid w:val="00A50B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B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B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0B99"/>
    <w:rPr>
      <w:b/>
      <w:bCs/>
    </w:rPr>
  </w:style>
  <w:style w:type="character" w:customStyle="1" w:styleId="apple-converted-space">
    <w:name w:val="apple-converted-space"/>
    <w:basedOn w:val="DefaultParagraphFont"/>
    <w:rsid w:val="00A50B99"/>
  </w:style>
  <w:style w:type="paragraph" w:styleId="NormalWeb">
    <w:name w:val="Normal (Web)"/>
    <w:basedOn w:val="Normal"/>
    <w:uiPriority w:val="99"/>
    <w:unhideWhenUsed/>
    <w:rsid w:val="00A50B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">
    <w:name w:val="x_hi"/>
    <w:basedOn w:val="DefaultParagraphFont"/>
    <w:rsid w:val="00A50B99"/>
  </w:style>
  <w:style w:type="character" w:styleId="Emphasis">
    <w:name w:val="Emphasis"/>
    <w:basedOn w:val="DefaultParagraphFont"/>
    <w:uiPriority w:val="20"/>
    <w:qFormat/>
    <w:rsid w:val="00A50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2017-01-31T15:11:00Z</dcterms:created>
  <dcterms:modified xsi:type="dcterms:W3CDTF">2017-01-31T15:20:00Z</dcterms:modified>
</cp:coreProperties>
</file>